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pageBreakBefore w:val="false"/>
        <w:shd w:val="clear" w:fill="auto"/>
        <w:spacing w:lineRule="auto" w:line="240" w:before="0" w:after="60"/>
        <w:ind w:hanging="0"/>
        <w:jc w:val="right"/>
        <w:rPr>
          <w:rFonts w:ascii="Proxima Nova" w:hAnsi="Proxima Nova" w:eastAsia="Proxima Nova" w:cs="Proxima Nova"/>
        </w:rPr>
      </w:pPr>
      <w:r>
        <w:rPr>
          <w:rFonts w:eastAsia="Proxima Nova" w:cs="Proxima Nova" w:ascii="Proxima Nova" w:hAnsi="Proxima Nova"/>
        </w:rPr>
        <w:t xml:space="preserve">Subdirección General de Ordenación y Desarrollo Normativo </w:t>
      </w:r>
    </w:p>
    <w:p>
      <w:pPr>
        <w:pStyle w:val="Normal1"/>
        <w:pageBreakBefore w:val="false"/>
        <w:shd w:val="clear" w:fill="auto"/>
        <w:spacing w:lineRule="auto" w:line="240" w:before="0" w:after="60"/>
        <w:ind w:hanging="0"/>
        <w:jc w:val="right"/>
        <w:rPr>
          <w:rFonts w:ascii="Proxima Nova" w:hAnsi="Proxima Nova" w:eastAsia="Proxima Nova" w:cs="Proxima Nova"/>
          <w:caps w:val="false"/>
          <w:smallCaps w:val="false"/>
        </w:rPr>
      </w:pPr>
      <w:r>
        <w:rPr>
          <w:rFonts w:eastAsia="Proxima Nova" w:cs="Proxima Nova" w:ascii="Proxima Nova" w:hAnsi="Proxima Nova"/>
          <w:caps w:val="false"/>
          <w:smallCaps w:val="false"/>
        </w:rPr>
        <w:t>DIRECCIÓN GENERAL DE TURISMO</w:t>
      </w:r>
    </w:p>
    <w:p>
      <w:pPr>
        <w:pStyle w:val="Normal1"/>
        <w:pageBreakBefore w:val="false"/>
        <w:shd w:val="clear" w:fill="auto"/>
        <w:spacing w:lineRule="auto" w:line="240" w:before="0" w:after="60"/>
        <w:ind w:hanging="0"/>
        <w:jc w:val="right"/>
        <w:rPr>
          <w:rFonts w:ascii="Proxima Nova" w:hAnsi="Proxima Nova" w:eastAsia="Proxima Nova" w:cs="Proxima Nova"/>
          <w:caps w:val="false"/>
          <w:smallCaps w:val="false"/>
        </w:rPr>
      </w:pPr>
      <w:r>
        <w:rPr>
          <w:rFonts w:eastAsia="Proxima Nova" w:cs="Proxima Nova" w:ascii="Proxima Nova" w:hAnsi="Proxima Nova"/>
          <w:caps w:val="false"/>
          <w:smallCaps w:val="false"/>
        </w:rPr>
        <w:t>COMUNIDAD DE MADRID</w:t>
      </w:r>
    </w:p>
    <w:p>
      <w:pPr>
        <w:pStyle w:val="Normal1"/>
        <w:pageBreakBefore w:val="false"/>
        <w:shd w:val="clear" w:fill="auto"/>
        <w:ind w:hanging="0" w:left="0"/>
        <w:rPr>
          <w:rFonts w:ascii="Arial Narrow" w:hAnsi="Arial Narrow" w:eastAsia="Arial Narrow" w:cs="Arial Narrow"/>
          <w:caps w:val="false"/>
          <w:smallCaps w:val="false"/>
          <w:color w:val="000000"/>
          <w:shd w:fill="auto" w:val="clear"/>
        </w:rPr>
      </w:pPr>
      <w:r>
        <w:rPr>
          <w:rFonts w:eastAsia="Arial Narrow" w:cs="Arial Narrow" w:ascii="Arial Narrow" w:hAnsi="Arial Narrow"/>
          <w:caps w:val="false"/>
          <w:smallCaps w:val="false"/>
          <w:color w:val="000000"/>
          <w:shd w:fill="auto" w:val="clear"/>
        </w:rPr>
      </w:r>
    </w:p>
    <w:p>
      <w:pPr>
        <w:pStyle w:val="Normal1"/>
        <w:pageBreakBefore w:val="false"/>
        <w:shd w:val="clear" w:fill="auto"/>
        <w:ind w:hanging="0" w:left="0"/>
        <w:rPr>
          <w:rFonts w:ascii="Proxima Nova" w:hAnsi="Proxima Nova" w:eastAsia="Proxima Nova" w:cs="Proxima Nova"/>
          <w:caps w:val="false"/>
          <w:smallCaps w:val="false"/>
        </w:rPr>
      </w:pPr>
      <w:r>
        <w:rPr>
          <w:rFonts w:eastAsia="Proxima Nova" w:cs="Proxima Nova" w:ascii="Proxima Nova" w:hAnsi="Proxima Nova"/>
          <w:caps w:val="false"/>
          <w:smallCaps w:val="false"/>
          <w:color w:val="000000"/>
        </w:rPr>
        <w:t>D.</w:t>
      </w:r>
      <w:r>
        <w:rPr>
          <w:rFonts w:eastAsia="Proxima Nova" w:cs="Proxima Nova" w:ascii="Proxima Nova" w:hAnsi="Proxima Nova"/>
        </w:rPr>
        <w:t>/Dª. …………………………………………………………………………………………………………..</w:t>
      </w:r>
      <w:r>
        <w:rPr>
          <w:rFonts w:eastAsia="Proxima Nova" w:cs="Proxima Nova" w:ascii="Proxima Nova" w:hAnsi="Proxima Nova"/>
          <w:caps w:val="false"/>
          <w:smallCaps w:val="false"/>
          <w:color w:val="000000"/>
        </w:rPr>
        <w:t xml:space="preserve"> actuando en nombre y representación, en su calidad de,  </w:t>
      </w:r>
      <w:r>
        <w:rPr>
          <w:rFonts w:eastAsia="Proxima Nova" w:cs="Proxima Nova" w:ascii="Proxima Nova" w:hAnsi="Proxima Nova"/>
        </w:rPr>
        <w:t>…………………………………………… de la entidad ……………………………………………………………………………………………………………………..  con CIF …………………………</w:t>
      </w:r>
      <w:r>
        <w:rPr>
          <w:rFonts w:eastAsia="Proxima Nova" w:cs="Proxima Nova" w:ascii="Proxima Nova" w:hAnsi="Proxima Nova"/>
          <w:caps w:val="false"/>
          <w:smallCaps w:val="false"/>
          <w:color w:val="000000"/>
        </w:rPr>
        <w:t>y con domicilio en</w:t>
      </w:r>
      <w:r>
        <w:rPr>
          <w:rFonts w:eastAsia="Proxima Nova" w:cs="Proxima Nova" w:ascii="Proxima Nova" w:hAnsi="Proxima Nova"/>
        </w:rPr>
        <w:t xml:space="preserve"> ……………………………………………………………………………………….</w:t>
      </w:r>
      <w:r>
        <w:rPr>
          <w:rFonts w:eastAsia="Proxima Nova" w:cs="Proxima Nova" w:ascii="Proxima Nova" w:hAnsi="Proxima Nova"/>
          <w:caps w:val="false"/>
          <w:smallCaps w:val="false"/>
          <w:color w:val="000000"/>
        </w:rPr>
        <w:t>n</w:t>
      </w:r>
      <w:r>
        <w:rPr>
          <w:rFonts w:eastAsia="Proxima Nova" w:cs="Proxima Nova" w:ascii="Proxima Nova" w:hAnsi="Proxima Nova"/>
        </w:rPr>
        <w:t xml:space="preserve">º ……. </w:t>
      </w:r>
      <w:r>
        <w:rPr>
          <w:rFonts w:eastAsia="Proxima Nova" w:cs="Proxima Nova" w:ascii="Proxima Nova" w:hAnsi="Proxima Nova"/>
          <w:caps w:val="false"/>
          <w:smallCaps w:val="false"/>
          <w:color w:val="000000"/>
        </w:rPr>
        <w:t>, de la ciudad de Madrid</w:t>
      </w:r>
      <w:r>
        <w:rPr>
          <w:rFonts w:eastAsia="Proxima Nova" w:cs="Proxima Nova" w:ascii="Proxima Nova" w:hAnsi="Proxima Nova"/>
        </w:rPr>
        <w:t xml:space="preserve"> ( C.P. ………………………………) </w:t>
      </w:r>
      <w:r>
        <w:rPr>
          <w:rFonts w:eastAsia="Proxima Nova" w:cs="Proxima Nova" w:ascii="Proxima Nova" w:hAnsi="Proxima Nova"/>
          <w:caps w:val="false"/>
          <w:smallCaps w:val="false"/>
          <w:color w:val="000000"/>
        </w:rPr>
        <w:t xml:space="preserve"> con número de teléfono a efectos de contacto</w:t>
      </w:r>
      <w:r>
        <w:rPr>
          <w:rFonts w:eastAsia="Proxima Nova" w:cs="Proxima Nova" w:ascii="Proxima Nova" w:hAnsi="Proxima Nova"/>
        </w:rPr>
        <w:t xml:space="preserve"> ………………………….</w:t>
      </w:r>
      <w:r>
        <w:rPr>
          <w:rFonts w:eastAsia="Proxima Nova" w:cs="Proxima Nova" w:ascii="Proxima Nova" w:hAnsi="Proxima Nova"/>
          <w:caps w:val="false"/>
          <w:smallCaps w:val="false"/>
          <w:color w:val="000000"/>
        </w:rPr>
        <w:t xml:space="preserve"> y correo</w:t>
      </w:r>
      <w:r>
        <w:rPr>
          <w:rFonts w:eastAsia="Proxima Nova" w:cs="Proxima Nova" w:ascii="Proxima Nova" w:hAnsi="Proxima Nova"/>
        </w:rPr>
        <w:t xml:space="preserve"> electrónico a</w:t>
      </w:r>
      <w:r>
        <w:rPr>
          <w:rFonts w:eastAsia="Proxima Nova" w:cs="Proxima Nova" w:ascii="Proxima Nova" w:hAnsi="Proxima Nova"/>
          <w:caps w:val="false"/>
          <w:smallCaps w:val="false"/>
          <w:color w:val="000000"/>
        </w:rPr>
        <w:t xml:space="preserve"> efectos de comunicación</w:t>
      </w:r>
      <w:r>
        <w:rPr>
          <w:rFonts w:eastAsia="Proxima Nova" w:cs="Proxima Nova" w:ascii="Proxima Nova" w:hAnsi="Proxima Nova"/>
        </w:rPr>
        <w:t>…………………………………………………………………………………………</w:t>
      </w:r>
      <w:r>
        <w:rPr>
          <w:rFonts w:eastAsia="Proxima Nova" w:cs="Proxima Nova" w:ascii="Proxima Nova" w:hAnsi="Proxima Nova"/>
          <w:caps w:val="false"/>
          <w:smallCaps w:val="false"/>
        </w:rPr>
        <w:t xml:space="preserve">  </w:t>
      </w:r>
    </w:p>
    <w:p>
      <w:pPr>
        <w:pStyle w:val="Normal1"/>
        <w:pageBreakBefore w:val="false"/>
        <w:shd w:val="clear" w:fill="auto"/>
        <w:ind w:hanging="0" w:left="0"/>
        <w:rPr>
          <w:rFonts w:ascii="Proxima Nova" w:hAnsi="Proxima Nova" w:eastAsia="Proxima Nova" w:cs="Proxima Nova"/>
          <w:caps w:val="false"/>
          <w:smallCaps w:val="false"/>
          <w:color w:val="660000"/>
        </w:rPr>
      </w:pPr>
      <w:r>
        <w:rPr>
          <w:rFonts w:eastAsia="Proxima Nova" w:cs="Proxima Nova" w:ascii="Proxima Nova" w:hAnsi="Proxima Nova"/>
          <w:caps w:val="false"/>
          <w:smallCaps w:val="false"/>
        </w:rPr>
        <w:t xml:space="preserve">                        </w:t>
      </w:r>
      <w:r>
        <w:rPr>
          <w:rFonts w:eastAsia="Proxima Nova" w:cs="Proxima Nova" w:ascii="Proxima Nova" w:hAnsi="Proxima Nova"/>
          <w:caps w:val="false"/>
          <w:smallCaps w:val="false"/>
          <w:color w:val="660000"/>
        </w:rPr>
        <w:t xml:space="preserve">            </w:t>
      </w:r>
    </w:p>
    <w:p>
      <w:pPr>
        <w:pStyle w:val="Normal1"/>
        <w:pageBreakBefore w:val="false"/>
        <w:shd w:val="clear" w:fill="auto"/>
        <w:ind w:hanging="0"/>
        <w:rPr>
          <w:rFonts w:ascii="Proxima Nova" w:hAnsi="Proxima Nova" w:eastAsia="Proxima Nova" w:cs="Proxima Nova"/>
          <w:caps w:val="false"/>
          <w:smallCaps w:val="false"/>
        </w:rPr>
      </w:pPr>
      <w:r>
        <w:rPr>
          <w:rFonts w:eastAsia="Proxima Nova" w:cs="Proxima Nova" w:ascii="Proxima Nova" w:hAnsi="Proxima Nova"/>
          <w:caps w:val="false"/>
          <w:smallCaps w:val="false"/>
        </w:rPr>
        <w:t>EXPONE</w:t>
      </w:r>
      <w:r>
        <w:rPr>
          <w:rFonts w:eastAsia="Proxima Nova" w:cs="Proxima Nova" w:ascii="Proxima Nova" w:hAnsi="Proxima Nova"/>
        </w:rPr>
        <w:t>:</w:t>
      </w:r>
    </w:p>
    <w:p>
      <w:pPr>
        <w:pStyle w:val="Normal1"/>
        <w:pageBreakBefore w:val="false"/>
        <w:shd w:val="clear" w:fill="auto"/>
        <w:ind w:hanging="0"/>
        <w:rPr>
          <w:rFonts w:ascii="Proxima Nova" w:hAnsi="Proxima Nova" w:eastAsia="Proxima Nova" w:cs="Proxima Nova"/>
          <w:caps w:val="false"/>
          <w:smallCaps w:val="false"/>
        </w:rPr>
      </w:pPr>
      <w:r>
        <w:rPr>
          <w:rFonts w:eastAsia="Proxima Nova" w:cs="Proxima Nova" w:ascii="Proxima Nova" w:hAnsi="Proxima Nova"/>
          <w:caps w:val="false"/>
          <w:smallCaps w:val="false"/>
        </w:rPr>
      </w:r>
    </w:p>
    <w:p>
      <w:pPr>
        <w:pStyle w:val="Normal1"/>
        <w:pageBreakBefore w:val="false"/>
        <w:shd w:val="clear" w:fill="auto"/>
        <w:rPr>
          <w:rFonts w:ascii="Proxima Nova" w:hAnsi="Proxima Nova" w:eastAsia="Proxima Nova" w:cs="Proxima Nova"/>
        </w:rPr>
      </w:pPr>
      <w:r>
        <w:rPr>
          <w:rFonts w:eastAsia="Proxima Nova" w:cs="Proxima Nova" w:ascii="Proxima Nova" w:hAnsi="Proxima Nova"/>
          <w:caps w:val="false"/>
          <w:smallCaps w:val="false"/>
        </w:rPr>
        <w:t>Que la vivienda situada en la calle</w:t>
      </w:r>
      <w:r>
        <w:rPr>
          <w:rFonts w:eastAsia="Proxima Nova" w:cs="Proxima Nova" w:ascii="Proxima Nova" w:hAnsi="Proxima Nova"/>
        </w:rPr>
        <w:t xml:space="preserve">…………………………………………………………………………………………….. nº………, </w:t>
      </w:r>
      <w:r>
        <w:rPr>
          <w:rFonts w:eastAsia="Proxima Nova" w:cs="Proxima Nova" w:ascii="Proxima Nova" w:hAnsi="Proxima Nova"/>
          <w:caps w:val="false"/>
          <w:smallCaps w:val="false"/>
        </w:rPr>
        <w:t xml:space="preserve">planta  </w:t>
      </w:r>
      <w:r>
        <w:rPr>
          <w:rFonts w:eastAsia="Proxima Nova" w:cs="Proxima Nova" w:ascii="Proxima Nova" w:hAnsi="Proxima Nova"/>
        </w:rPr>
        <w:t>………  letra………. Escalera …………….</w:t>
      </w:r>
      <w:r>
        <w:rPr>
          <w:rFonts w:eastAsia="Proxima Nova" w:cs="Proxima Nova" w:ascii="Proxima Nova" w:hAnsi="Proxima Nova"/>
          <w:caps w:val="false"/>
          <w:smallCaps w:val="false"/>
        </w:rPr>
        <w:t xml:space="preserve"> ubicada en el Distrito</w:t>
      </w:r>
      <w:r>
        <w:rPr>
          <w:rFonts w:eastAsia="Proxima Nova" w:cs="Proxima Nova" w:ascii="Proxima Nova" w:hAnsi="Proxima Nova"/>
        </w:rPr>
        <w:t xml:space="preserve">……………………………………… Codigo postal ………………….. </w:t>
      </w:r>
      <w:r>
        <w:rPr>
          <w:rFonts w:eastAsia="Proxima Nova" w:cs="Proxima Nova" w:ascii="Proxima Nova" w:hAnsi="Proxima Nova"/>
          <w:caps w:val="false"/>
          <w:smallCaps w:val="false"/>
        </w:rPr>
        <w:t xml:space="preserve">de la Ciudad de Madrid,, se comercializa como Vivienda de Uso Turístico (VUT), según se desprende de </w:t>
      </w:r>
      <w:r>
        <w:rPr>
          <w:rFonts w:eastAsia="Proxima Nova" w:cs="Proxima Nova" w:ascii="Proxima Nova" w:hAnsi="Proxima Nova"/>
        </w:rPr>
        <w:t>……………………..</w:t>
      </w:r>
      <w:r>
        <w:rPr>
          <w:rFonts w:eastAsia="Proxima Nova" w:cs="Proxima Nova" w:ascii="Proxima Nova" w:hAnsi="Proxima Nova"/>
          <w:caps w:val="false"/>
          <w:smallCaps w:val="false"/>
        </w:rPr>
        <w:t xml:space="preserve">      </w:t>
      </w:r>
      <w:r>
        <w:rPr>
          <w:rFonts w:eastAsia="Proxima Nova" w:cs="Proxima Nova" w:ascii="Proxima Nova" w:hAnsi="Proxima Nova"/>
          <w:caps w:val="false"/>
          <w:smallCaps w:val="false"/>
          <w:color w:val="660000"/>
        </w:rPr>
        <w:t xml:space="preserve">  ( </w:t>
      </w:r>
      <w:r>
        <w:rPr>
          <w:rFonts w:eastAsia="Proxima Nova" w:cs="Proxima Nova" w:ascii="Proxima Nova" w:hAnsi="Proxima Nova"/>
          <w:color w:val="660000"/>
        </w:rPr>
        <w:t>aportar  la máxima información posible, de pags. Webs, intervenciones de la Policía Municipal, avisos y comunicaciones de la Comunidad de Propietarios, certificado de registro en la Comunidad de Madrid, etc……. ),</w:t>
      </w:r>
      <w:r>
        <w:rPr>
          <w:rFonts w:eastAsia="Proxima Nova" w:cs="Proxima Nova" w:ascii="Proxima Nova" w:hAnsi="Proxima Nova"/>
        </w:rPr>
        <w:t xml:space="preserve">......................  y que la citada vivienda es propiedad de …………………. </w:t>
      </w:r>
      <w:r>
        <w:rPr>
          <w:rFonts w:eastAsia="Proxima Nova" w:cs="Proxima Nova" w:ascii="Proxima Nova" w:hAnsi="Proxima Nova"/>
          <w:color w:val="660000"/>
        </w:rPr>
        <w:t>( señalar nombre  de la persona Física o la Entidad Jurídica )</w:t>
      </w:r>
      <w:r>
        <w:rPr>
          <w:rFonts w:eastAsia="Proxima Nova" w:cs="Proxima Nova" w:ascii="Proxima Nova" w:hAnsi="Proxima Nova"/>
        </w:rPr>
        <w:t>,…………………………………………………………….,con domicilio en ……………………………………………………………  …………………………………………………………………………………, y  comercializada o gestionada por ……….</w:t>
      </w:r>
      <w:r>
        <w:rPr>
          <w:rFonts w:eastAsia="Proxima Nova" w:cs="Proxima Nova" w:ascii="Proxima Nova" w:hAnsi="Proxima Nova"/>
          <w:color w:val="660000"/>
        </w:rPr>
        <w:t>.( indicar Empresa o persona )</w:t>
      </w:r>
      <w:r>
        <w:rPr>
          <w:rFonts w:eastAsia="Proxima Nova" w:cs="Proxima Nova" w:ascii="Proxima Nova" w:hAnsi="Proxima Nova"/>
        </w:rPr>
        <w:t>............................................ con domicilio en ……………………………………………………………….</w:t>
      </w:r>
    </w:p>
    <w:p>
      <w:pPr>
        <w:pStyle w:val="Normal1"/>
        <w:pageBreakBefore w:val="false"/>
        <w:shd w:val="clear" w:fill="auto"/>
        <w:ind w:hanging="0" w:left="0"/>
        <w:rPr>
          <w:rFonts w:ascii="Proxima Nova" w:hAnsi="Proxima Nova" w:eastAsia="Proxima Nova" w:cs="Proxima Nova"/>
          <w:color w:val="660000"/>
        </w:rPr>
      </w:pPr>
      <w:r>
        <w:rPr>
          <w:rFonts w:eastAsia="Proxima Nova" w:cs="Proxima Nova" w:ascii="Proxima Nova" w:hAnsi="Proxima Nova"/>
          <w:color w:val="660000"/>
        </w:rPr>
        <w:t>( en caso de no disponer de datos fiables, obviar esta reseña )</w:t>
      </w:r>
    </w:p>
    <w:p>
      <w:pPr>
        <w:pStyle w:val="Normal1"/>
        <w:pageBreakBefore w:val="false"/>
        <w:shd w:val="clear" w:fill="auto"/>
        <w:ind w:hanging="0" w:left="0"/>
        <w:rPr>
          <w:rFonts w:ascii="Proxima Nova" w:hAnsi="Proxima Nova" w:eastAsia="Proxima Nova" w:cs="Proxima Nova"/>
        </w:rPr>
      </w:pPr>
      <w:r>
        <w:rPr>
          <w:rFonts w:eastAsia="Proxima Nova" w:cs="Proxima Nova" w:ascii="Proxima Nova" w:hAnsi="Proxima Nova"/>
        </w:rPr>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Que el Decreto 79/2014, de 10 de julio, por el que se regulan los apartamentos turísticos y las viviendas de uso turístico de la Comunidad de Madrid, con las modificaciones introducidas por el Decreto 29/2019, de 9 de abril, establece:</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5. Normativa sectorial. Remisión de documentación, derechos y deberes de los usuarios. Protección de seguridad ciudadana</w:t>
      </w:r>
    </w:p>
    <w:p>
      <w:pPr>
        <w:pStyle w:val="Normal1"/>
        <w:pageBreakBefore w:val="false"/>
        <w:shd w:val="clear" w:fill="auto"/>
        <w:spacing w:lineRule="auto" w:line="240" w:before="0" w:after="12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 xml:space="preserve">1. Los apartamentos turísticos y las viviendas de uso turístico </w:t>
      </w:r>
      <w:r>
        <w:rPr>
          <w:rFonts w:eastAsia="Proxima Nova" w:cs="Proxima Nova" w:ascii="Proxima Nova" w:hAnsi="Proxima Nova"/>
          <w:i/>
          <w:caps w:val="false"/>
          <w:smallCaps w:val="false"/>
          <w:u w:val="single"/>
        </w:rPr>
        <w:t>deberán cumplir las normas sectoriales aplicables a la materia</w:t>
      </w:r>
      <w:r>
        <w:rPr>
          <w:rFonts w:eastAsia="Proxima Nova" w:cs="Proxima Nova" w:ascii="Proxima Nova" w:hAnsi="Proxima Nova"/>
          <w:i/>
          <w:caps w:val="false"/>
          <w:smallCaps w:val="false"/>
        </w:rPr>
        <w:t xml:space="preserve">, concretamente las normas de seguridad, </w:t>
      </w:r>
      <w:r>
        <w:rPr>
          <w:rFonts w:eastAsia="Proxima Nova" w:cs="Proxima Nova" w:ascii="Proxima Nova" w:hAnsi="Proxima Nova"/>
          <w:i/>
          <w:caps w:val="false"/>
          <w:smallCaps w:val="false"/>
          <w:u w:val="single"/>
        </w:rPr>
        <w:t>urbanismo</w:t>
      </w:r>
      <w:r>
        <w:rPr>
          <w:rFonts w:eastAsia="Proxima Nova" w:cs="Proxima Nova" w:ascii="Proxima Nova" w:hAnsi="Proxima Nova"/>
          <w:i/>
          <w:caps w:val="false"/>
          <w:smallCaps w:val="false"/>
        </w:rPr>
        <w:t>, accesibilidad, sanidad, medio ambiente y propiedad horizontal.</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color w:val="000000"/>
        </w:rPr>
      </w:pPr>
      <w:r>
        <w:rPr>
          <w:rFonts w:eastAsia="Proxima Nova" w:cs="Proxima Nova" w:ascii="Proxima Nova" w:hAnsi="Proxima Nova"/>
          <w:i/>
          <w:caps w:val="false"/>
          <w:smallCaps w:val="false"/>
        </w:rPr>
        <w:t>Artículo 17</w:t>
      </w:r>
      <w:r>
        <w:rPr>
          <w:rFonts w:eastAsia="Proxima Nova" w:cs="Proxima Nova" w:ascii="Proxima Nova" w:hAnsi="Proxima Nova"/>
          <w:b/>
          <w:caps w:val="false"/>
          <w:smallCaps w:val="false"/>
          <w:color w:val="000000"/>
        </w:rPr>
        <w:t>.</w:t>
      </w:r>
      <w:r>
        <w:rPr>
          <w:rFonts w:eastAsia="Proxima Nova" w:cs="Proxima Nova" w:ascii="Proxima Nova" w:hAnsi="Proxima Nova"/>
          <w:caps w:val="false"/>
          <w:smallCaps w:val="false"/>
          <w:color w:val="000000"/>
        </w:rPr>
        <w:t xml:space="preserve"> </w:t>
      </w:r>
      <w:r>
        <w:rPr>
          <w:rFonts w:eastAsia="Proxima Nova" w:cs="Proxima Nova" w:ascii="Proxima Nova" w:hAnsi="Proxima Nova"/>
          <w:i/>
          <w:caps w:val="false"/>
          <w:smallCaps w:val="false"/>
          <w:color w:val="000000"/>
        </w:rPr>
        <w:t>Régimen jurídico</w:t>
      </w:r>
    </w:p>
    <w:p>
      <w:pPr>
        <w:pStyle w:val="Normal1"/>
        <w:pageBreakBefore w:val="false"/>
        <w:shd w:val="clear" w:fill="auto"/>
        <w:spacing w:lineRule="auto" w:line="240" w:before="0" w:after="12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 xml:space="preserve">1. Los propietarios de viviendas de uso turístico o sus representantes están obligados a presentar ante la dirección general competente en materia de Turismo una declaración responsable de inicio de la actividad de alojamiento turístico, según modelo incluido en el anexo III, acompañada del CIVUT regulado en el apartado 4 del artículo 2 y en el artículo 17 bis de este Decreto, </w:t>
      </w:r>
      <w:r>
        <w:rPr>
          <w:rFonts w:eastAsia="Proxima Nova" w:cs="Proxima Nova" w:ascii="Proxima Nova" w:hAnsi="Proxima Nova"/>
          <w:i/>
          <w:caps w:val="false"/>
          <w:smallCaps w:val="false"/>
          <w:u w:val="single"/>
        </w:rPr>
        <w:t>sin perjuicio de otras autorizaciones o licencias</w:t>
      </w:r>
      <w:r>
        <w:rPr>
          <w:rFonts w:eastAsia="Proxima Nova" w:cs="Proxima Nova" w:ascii="Proxima Nova" w:hAnsi="Proxima Nova"/>
          <w:i/>
          <w:caps w:val="false"/>
          <w:smallCaps w:val="false"/>
        </w:rPr>
        <w:t>.</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La VUT denunciada no cuenta con la preceptiva licencia de cambio de uso y actividad de uso terciario hospedaje, tal y como establece la normativa urbanística vigente, incumpliendo por tanto lo establecido en el artículo 5.</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Además, en el Modelo de Declaración Responsable en vigor, figuran textualmente el siguiente párrafo:</w:t>
      </w:r>
    </w:p>
    <w:p>
      <w:pPr>
        <w:pStyle w:val="Normal1"/>
        <w:keepNext w:val="false"/>
        <w:keepLines w:val="false"/>
        <w:pageBreakBefore w:val="false"/>
        <w:widowControl/>
        <w:numPr>
          <w:ilvl w:val="0"/>
          <w:numId w:val="1"/>
        </w:numPr>
        <w:shd w:val="clear" w:fill="auto"/>
        <w:spacing w:lineRule="auto" w:line="259" w:before="0" w:after="160"/>
        <w:ind w:hanging="360" w:left="1259" w:right="0"/>
        <w:rPr>
          <w:rFonts w:ascii="Proxima Nova" w:hAnsi="Proxima Nova" w:eastAsia="Proxima Nova" w:cs="Proxima Nova"/>
        </w:rPr>
      </w:pPr>
      <w:r>
        <w:rPr>
          <w:rFonts w:eastAsia="Proxima Nova" w:cs="Proxima Nova" w:ascii="Proxima Nova" w:hAnsi="Proxima Nova"/>
          <w:i/>
          <w:caps w:val="false"/>
          <w:smallCaps w:val="false"/>
          <w:strike w:val="false"/>
          <w:dstrike w:val="false"/>
          <w:color w:val="000000"/>
          <w:position w:val="0"/>
          <w:sz w:val="22"/>
          <w:sz w:val="22"/>
          <w:szCs w:val="22"/>
          <w:u w:val="single"/>
          <w:shd w:fill="auto" w:val="clear"/>
          <w:vertAlign w:val="baseline"/>
        </w:rPr>
        <w:t>Que cuenta con los preceptivos permisos y licencias exigibles por otras Administraciones y Organismos Públicos</w:t>
      </w:r>
      <w:r>
        <w:rPr>
          <w:rFonts w:eastAsia="Proxima Nova" w:cs="Proxima Nova" w:ascii="Proxima Nova" w:hAnsi="Proxima Nova"/>
          <w:i/>
          <w:caps w:val="false"/>
          <w:smallCaps w:val="false"/>
          <w:strike w:val="false"/>
          <w:dstrike w:val="false"/>
          <w:color w:val="000000"/>
          <w:position w:val="0"/>
          <w:sz w:val="22"/>
          <w:sz w:val="22"/>
          <w:szCs w:val="22"/>
          <w:u w:val="none"/>
          <w:shd w:fill="auto" w:val="clear"/>
          <w:vertAlign w:val="baseline"/>
        </w:rPr>
        <w:t>.</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Como ya he indicado, esto no es cierto, al no contar con las preceptivas licencias urbanísticas del Ayuntamiento de Madrid, y no pudiendo obtenerlas por no cumplir los requisitos para ello.</w:t>
      </w:r>
    </w:p>
    <w:p>
      <w:pPr>
        <w:pStyle w:val="Normal1"/>
        <w:pageBreakBefore w:val="false"/>
        <w:shd w:val="clear" w:fill="auto"/>
        <w:rPr>
          <w:rFonts w:ascii="Proxima Nova" w:hAnsi="Proxima Nova" w:eastAsia="Proxima Nova" w:cs="Proxima Nova"/>
          <w:i/>
          <w:i/>
          <w:caps w:val="false"/>
          <w:smallCaps w:val="false"/>
        </w:rPr>
      </w:pPr>
      <w:r>
        <w:rPr>
          <w:rFonts w:eastAsia="Proxima Nova" w:cs="Proxima Nova" w:ascii="Proxima Nova" w:hAnsi="Proxima Nova"/>
          <w:caps w:val="false"/>
          <w:smallCaps w:val="false"/>
        </w:rPr>
        <w:t xml:space="preserve">Por otra parte, el artículo 21 del decreto establece que </w:t>
      </w:r>
      <w:r>
        <w:rPr>
          <w:rFonts w:eastAsia="Proxima Nova" w:cs="Proxima Nova" w:ascii="Proxima Nova" w:hAnsi="Proxima Nova"/>
          <w:i/>
          <w:caps w:val="false"/>
          <w:smallCaps w:val="false"/>
        </w:rPr>
        <w:t>el régimen sancionador aplicable a los apartamentos turísticos y a las viviendas de uso turístico se rige por lo dispuesto en el capítulo II, de la disciplina turística del Título IV del Control de la Calidad de la Ley 1/1999.</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 xml:space="preserve">Dicha Ley, en su Título IV, Capítulo II. </w:t>
      </w:r>
      <w:r>
        <w:rPr>
          <w:rFonts w:eastAsia="Proxima Nova" w:cs="Proxima Nova" w:ascii="Proxima Nova" w:hAnsi="Proxima Nova"/>
          <w:i/>
          <w:caps w:val="false"/>
          <w:smallCaps w:val="false"/>
        </w:rPr>
        <w:t>De la Disciplina turística</w:t>
      </w:r>
      <w:r>
        <w:rPr>
          <w:rFonts w:eastAsia="Proxima Nova" w:cs="Proxima Nova" w:ascii="Proxima Nova" w:hAnsi="Proxima Nova"/>
          <w:caps w:val="false"/>
          <w:smallCaps w:val="false"/>
        </w:rPr>
        <w:t>, establece:</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58. Infracciones graves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 La alteración o modificación, en general, de las condiciones contenidas en la declaración responsable y, en particular, de los requisitos mínimos que sirven de base para la clasificación del establecimiento, o a su capacidad, en ambos casos, sin haber presentado declaración responsable a la Administración turística.</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59. Infracciones muy graves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 xml:space="preserve">b) La negativa u obstrucción a la actuación de la inspección turística de forma que llegue a impedirla, </w:t>
      </w:r>
      <w:r>
        <w:rPr>
          <w:rFonts w:eastAsia="Proxima Nova" w:cs="Proxima Nova" w:ascii="Proxima Nova" w:hAnsi="Proxima Nova"/>
          <w:i/>
          <w:caps w:val="false"/>
          <w:smallCaps w:val="false"/>
          <w:u w:val="single"/>
        </w:rPr>
        <w:t>o la aportación de información o documentos falsos</w:t>
      </w:r>
      <w:r>
        <w:rPr>
          <w:rFonts w:eastAsia="Proxima Nova" w:cs="Proxima Nova" w:ascii="Proxima Nova" w:hAnsi="Proxima Nova"/>
          <w:i/>
          <w:caps w:val="false"/>
          <w:smallCaps w:val="false"/>
        </w:rPr>
        <w:t xml:space="preserve"> a los órganos competentes en materia de turismo.</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60. Clases de sanciones.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1. Las infracciones contra lo dispuesto en esta Ley y demás disposiciones en materia de turismo, darán lugar a las siguientes sanciones: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 Apercibimiento.</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b) Multa.</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c) Suspensión temporal de actividades o del ejercicio profesional, y cierre temporal del establecimiento, locales o instalaciones.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d) Anulación de inscripción en el Registro de Empresas Turísticas.</w:t>
      </w:r>
    </w:p>
    <w:p>
      <w:pPr>
        <w:pStyle w:val="Normal1"/>
        <w:pageBreakBefore w:val="false"/>
        <w:shd w:val="clear" w:fill="auto"/>
        <w:spacing w:lineRule="auto" w:line="240" w:before="0" w:after="12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e) Clausura definitiva del establecimiento.</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Artículo 61. Determinación de las sanciones.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1. La determinación de las sanciones previstas en esta Ley se formulará de acuerdo con los siguientes criterios: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a) El apercibimiento procederá en las infracciones leves, cuando del carácter de los hechos no se derive imposición de multa ni concurra reincidencia.</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b) Las multas se impondrán de acuerdo con la siguiente graduación:</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1) Infracciones leves, en cuantía de hasta 3.000 euros.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2) Infracciones graves, en cuantía comprendida entre 3.001 y 30.000 euros.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3) Infracciones muy graves, en cuantía comprendida entre 30.001 y 300.000 euros.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Para la imposición de sanciones pecuniarias se atenderá al principio de que la comisión de las infracciones tipificadas no resulte más beneficiosa para el infractor que el cumplimiento de las normas infringidas.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c) La suspensión de las actividades empresariales o profesionales, o el cierre temporal del establecimiento, locales o instalaciones, podrá imponerse como sanción principal o accesoria a la multa, de conformidad con la siguiente graduación:</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1) Suspensión o cierre por un plazo no superior a seis meses, en caso de infracciones graves.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2) Suspensión o cierre por un plazo de hasta cinco años, en caso de infracciones muy graves.</w:t>
      </w:r>
    </w:p>
    <w:p>
      <w:pPr>
        <w:pStyle w:val="Normal1"/>
        <w:pageBreakBefore w:val="false"/>
        <w:shd w:val="clear" w:fill="auto"/>
        <w:spacing w:lineRule="auto" w:line="240" w:before="0" w:after="60"/>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d) La anulación de inscripción en el Registro de Empresas Turísticas podrá imponerse en el caso de infracciones graves o muy graves.</w:t>
      </w:r>
    </w:p>
    <w:p>
      <w:pPr>
        <w:pStyle w:val="Normal1"/>
        <w:pageBreakBefore w:val="false"/>
        <w:shd w:val="clear" w:fill="auto"/>
        <w:ind w:hanging="0" w:left="567"/>
        <w:rPr>
          <w:rFonts w:ascii="Proxima Nova" w:hAnsi="Proxima Nova" w:eastAsia="Proxima Nova" w:cs="Proxima Nova"/>
          <w:i/>
          <w:i/>
          <w:caps w:val="false"/>
          <w:smallCaps w:val="false"/>
        </w:rPr>
      </w:pPr>
      <w:r>
        <w:rPr>
          <w:rFonts w:eastAsia="Proxima Nova" w:cs="Proxima Nova" w:ascii="Proxima Nova" w:hAnsi="Proxima Nova"/>
          <w:i/>
          <w:caps w:val="false"/>
          <w:smallCaps w:val="false"/>
        </w:rPr>
        <w:t>e) La clausura definitiva del establecimiento podrá imponerse en el caso de infracciones muy graves.</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En el caso que nos ocupa son varias las infracciones cometidas por la VUT denunciada, que paso a detallar:</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1.- Las condiciones establecidas en la declaración responsable no se corresponden con la realidad, lo que está calificado como infracción grave por el artículo 58.</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2.- Se ha aportado información falsa en la declaración responsable, infracción muy grave según el artículo 59.</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No procede el apercibimiento, ya que éste está previsto para las infracciones leves.</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Dado que el promotor de la Viviendas de Uso Turístico denunciada ha cometido al menos una infracción grave y otra muy grave, creo que procede con carácter inmediato la suspensión o cierre por un plazo de cinco años, como sanción accesoria a multa entre 30.001 y 300.000 euros.</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Posteriormente, y una vez se compruebe por la Dirección General de Turismo la imposibilidad de obtener licencia urbanística para la actividad, y por tanto cumplir el Decreto y la Ley de Turismo, creo que debe procederse a la anulación de la inscripción en el Registro de Empresas Turísticas y la clausura definitiva del establecimiento.</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Por todo ello</w:t>
      </w:r>
    </w:p>
    <w:p>
      <w:pPr>
        <w:pStyle w:val="Normal1"/>
        <w:pageBreakBefore w:val="false"/>
        <w:shd w:val="clear" w:fill="auto"/>
        <w:ind w:hanging="0"/>
        <w:rPr>
          <w:rFonts w:ascii="Proxima Nova" w:hAnsi="Proxima Nova" w:eastAsia="Proxima Nova" w:cs="Proxima Nova"/>
          <w:caps w:val="false"/>
          <w:smallCaps w:val="false"/>
        </w:rPr>
      </w:pPr>
      <w:r>
        <w:rPr>
          <w:rFonts w:eastAsia="Proxima Nova" w:cs="Proxima Nova" w:ascii="Proxima Nova" w:hAnsi="Proxima Nova"/>
          <w:caps w:val="false"/>
          <w:smallCaps w:val="false"/>
        </w:rPr>
        <w:t>SOLICITO</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Que se compruebe lo denunciado y se inicie expediente de infracción a la Viviendas de Uso Turístico ilegal. Que se imponga al propietario y promotor de la actividad las sanciones correspondientes, calificadas como muy graves, y con la graduación que corresponda a las situaciones atenuantes o agravantes que sean de aplicación.</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Que como sanción accesoria a la multa, se proceda con carácter inmediato a la suspensión o cierre de la actividad por un plazo de cinco años, como medida previa a la clausura definitiva del establecimiento una vez se compruebe la imposibilidad material de obtener la preceptiva licencia urbanística.</w:t>
      </w:r>
    </w:p>
    <w:p>
      <w:pPr>
        <w:pStyle w:val="Normal1"/>
        <w:pageBreakBefore w:val="false"/>
        <w:shd w:val="clear" w:fill="auto"/>
        <w:rPr>
          <w:rFonts w:ascii="Proxima Nova" w:hAnsi="Proxima Nova" w:eastAsia="Proxima Nova" w:cs="Proxima Nova"/>
          <w:caps w:val="false"/>
          <w:smallCaps w:val="false"/>
        </w:rPr>
      </w:pPr>
      <w:r>
        <w:rPr>
          <w:rFonts w:eastAsia="Proxima Nova" w:cs="Proxima Nova" w:ascii="Proxima Nova" w:hAnsi="Proxima Nova"/>
          <w:caps w:val="false"/>
          <w:smallCaps w:val="false"/>
        </w:rPr>
        <w:t>Que se me considere parte del expediente y se me comuniquen las acciones y notificaciones que de él se deriven.</w:t>
      </w:r>
    </w:p>
    <w:p>
      <w:pPr>
        <w:pStyle w:val="Normal1"/>
        <w:pageBreakBefore w:val="false"/>
        <w:shd w:val="clear" w:fill="auto"/>
        <w:rPr>
          <w:rFonts w:ascii="Arial Narrow" w:hAnsi="Arial Narrow" w:eastAsia="Arial Narrow" w:cs="Arial Narrow"/>
          <w:caps w:val="false"/>
          <w:smallCaps w:val="false"/>
        </w:rPr>
      </w:pPr>
      <w:r>
        <w:rPr>
          <w:rFonts w:eastAsia="Arial Narrow" w:cs="Arial Narrow" w:ascii="Arial Narrow" w:hAnsi="Arial Narrow"/>
          <w:caps w:val="false"/>
          <w:smallCaps w:val="false"/>
        </w:rPr>
      </w:r>
    </w:p>
    <w:p>
      <w:pPr>
        <w:pStyle w:val="Normal1"/>
        <w:pageBreakBefore w:val="false"/>
        <w:shd w:val="clear" w:fill="auto"/>
        <w:rPr>
          <w:rFonts w:ascii="Arial Narrow" w:hAnsi="Arial Narrow" w:eastAsia="Arial Narrow" w:cs="Arial Narrow"/>
          <w:caps w:val="false"/>
          <w:smallCaps w:val="false"/>
        </w:rPr>
      </w:pPr>
      <w:r>
        <w:rPr>
          <w:rFonts w:eastAsia="Arial Narrow" w:cs="Arial Narrow" w:ascii="Arial Narrow" w:hAnsi="Arial Narrow"/>
          <w:caps w:val="false"/>
          <w:smallCaps w:val="false"/>
        </w:rPr>
        <w:t>En Madrid,</w:t>
      </w:r>
      <w:r>
        <w:rPr>
          <w:rFonts w:eastAsia="Arial Narrow" w:cs="Arial Narrow" w:ascii="Arial Narrow" w:hAnsi="Arial Narrow"/>
        </w:rPr>
        <w:t xml:space="preserve">  </w:t>
      </w:r>
      <w:r>
        <w:rPr>
          <w:rFonts w:eastAsia="Arial Narrow" w:cs="Arial Narrow" w:ascii="Arial Narrow" w:hAnsi="Arial Narrow"/>
          <w:caps w:val="false"/>
          <w:smallCaps w:val="false"/>
        </w:rPr>
        <w:t xml:space="preserve">a   </w:t>
      </w:r>
      <w:r>
        <w:rPr>
          <w:rFonts w:eastAsia="Arial Narrow" w:cs="Arial Narrow" w:ascii="Arial Narrow" w:hAnsi="Arial Narrow"/>
        </w:rPr>
        <w:t xml:space="preserve">       </w:t>
      </w:r>
      <w:r>
        <w:rPr>
          <w:rFonts w:eastAsia="Arial Narrow" w:cs="Arial Narrow" w:ascii="Arial Narrow" w:hAnsi="Arial Narrow"/>
          <w:caps w:val="false"/>
          <w:smallCaps w:val="false"/>
        </w:rPr>
        <w:t xml:space="preserve">de </w:t>
      </w:r>
      <w:r>
        <w:rPr>
          <w:rFonts w:eastAsia="Arial Narrow" w:cs="Arial Narrow" w:ascii="Arial Narrow" w:hAnsi="Arial Narrow"/>
        </w:rPr>
        <w:t xml:space="preserve">                        </w:t>
      </w:r>
      <w:r>
        <w:rPr>
          <w:rFonts w:eastAsia="Arial Narrow" w:cs="Arial Narrow" w:ascii="Arial Narrow" w:hAnsi="Arial Narrow"/>
          <w:caps w:val="false"/>
          <w:smallCaps w:val="false"/>
        </w:rPr>
        <w:t>de 20</w:t>
      </w:r>
      <w:r>
        <w:rPr>
          <w:rFonts w:eastAsia="Arial Narrow" w:cs="Arial Narrow" w:ascii="Arial Narrow" w:hAnsi="Arial Narrow"/>
        </w:rPr>
        <w:t>2</w:t>
      </w:r>
      <w:r>
        <w:rPr>
          <w:rFonts w:eastAsia="Arial Narrow" w:cs="Arial Narrow" w:ascii="Arial Narrow" w:hAnsi="Arial Narrow"/>
          <w:caps w:val="false"/>
          <w:smallCaps w:val="false"/>
        </w:rPr>
        <w:t xml:space="preserve">                                            </w:t>
      </w:r>
    </w:p>
    <w:p>
      <w:pPr>
        <w:pStyle w:val="Normal1"/>
        <w:pageBreakBefore w:val="false"/>
        <w:shd w:val="clear" w:fill="auto"/>
        <w:ind w:hanging="0" w:left="0"/>
        <w:rPr>
          <w:rFonts w:ascii="Arial Narrow" w:hAnsi="Arial Narrow" w:eastAsia="Arial Narrow" w:cs="Arial Narrow"/>
          <w:caps w:val="false"/>
          <w:smallCaps w:val="false"/>
        </w:rPr>
      </w:pPr>
      <w:r>
        <w:rPr>
          <w:rFonts w:eastAsia="Arial Narrow" w:cs="Arial Narrow" w:ascii="Arial Narrow" w:hAnsi="Arial Narrow"/>
        </w:rPr>
        <w:t xml:space="preserve"> </w:t>
      </w:r>
    </w:p>
    <w:p>
      <w:pPr>
        <w:pStyle w:val="Normal1"/>
        <w:pageBreakBefore w:val="false"/>
        <w:shd w:val="clear" w:fill="auto"/>
        <w:ind w:hanging="0" w:left="0"/>
        <w:rPr>
          <w:rFonts w:ascii="Arial Narrow" w:hAnsi="Arial Narrow" w:eastAsia="Arial Narrow" w:cs="Arial Narrow"/>
          <w:caps w:val="false"/>
          <w:smallCaps w:val="false"/>
        </w:rPr>
      </w:pPr>
      <w:r>
        <w:rPr>
          <w:rFonts w:eastAsia="Arial Narrow" w:cs="Arial Narrow" w:ascii="Arial Narrow" w:hAnsi="Arial Narrow"/>
          <w:caps w:val="false"/>
          <w:smallCaps w:val="false"/>
        </w:rPr>
      </w:r>
    </w:p>
    <w:p>
      <w:pPr>
        <w:pStyle w:val="Normal1"/>
        <w:pageBreakBefore w:val="false"/>
        <w:shd w:val="clear" w:fill="auto"/>
        <w:spacing w:before="0" w:after="160"/>
        <w:rPr>
          <w:rFonts w:ascii="Arial Narrow" w:hAnsi="Arial Narrow" w:eastAsia="Arial Narrow" w:cs="Arial Narrow"/>
          <w:caps w:val="false"/>
          <w:smallCaps w:val="false"/>
        </w:rPr>
      </w:pPr>
      <w:r>
        <w:rPr>
          <w:rFonts w:eastAsia="Arial Narrow" w:cs="Arial Narrow" w:ascii="Arial Narrow" w:hAnsi="Arial Narrow"/>
          <w:caps w:val="false"/>
          <w:smallCaps w:val="false"/>
        </w:rPr>
        <w:t xml:space="preserve">Fdo.: D..                                                                </w:t>
      </w:r>
    </w:p>
    <w:p>
      <w:pPr>
        <w:pStyle w:val="Normal1"/>
        <w:shd w:val="clear" w:fill="auto"/>
        <w:spacing w:before="0" w:after="160"/>
        <w:rPr>
          <w:rFonts w:ascii="Arial Narrow" w:hAnsi="Arial Narrow" w:eastAsia="Arial Narrow" w:cs="Arial Narrow"/>
          <w:caps w:val="false"/>
          <w:smallCaps w:val="false"/>
        </w:rPr>
      </w:pPr>
      <w:r>
        <w:rPr/>
      </w:r>
    </w:p>
    <w:p>
      <w:pPr>
        <w:pStyle w:val="Normal1"/>
        <w:shd w:val="clear" w:fill="auto"/>
        <w:spacing w:before="0" w:after="160"/>
        <w:rPr>
          <w:rFonts w:ascii="Arial Narrow" w:hAnsi="Arial Narrow" w:eastAsia="Arial Narrow" w:cs="Arial Narrow"/>
          <w:caps w:val="false"/>
          <w:smallCaps w:val="false"/>
        </w:rPr>
      </w:pPr>
      <w:r>
        <w:rPr/>
      </w:r>
    </w:p>
    <w:p>
      <w:pPr>
        <w:pStyle w:val="Normal1"/>
        <w:shd w:val="clear" w:fill="auto"/>
        <w:spacing w:before="0" w:after="160"/>
        <w:rPr>
          <w:rFonts w:ascii="Arial Narrow" w:hAnsi="Arial Narrow" w:eastAsia="Arial Narrow" w:cs="Arial Narrow"/>
          <w:caps w:val="false"/>
          <w:smallCaps w:val="false"/>
        </w:rPr>
      </w:pPr>
      <w:r>
        <w:rPr/>
      </w:r>
    </w:p>
    <w:p>
      <w:pPr>
        <w:pStyle w:val="Normal1"/>
        <w:shd w:val="clear" w:fill="auto"/>
        <w:spacing w:before="0" w:after="160"/>
        <w:rPr>
          <w:rFonts w:ascii="Arial Narrow" w:hAnsi="Arial Narrow" w:eastAsia="Arial Narrow" w:cs="Arial Narrow"/>
          <w:caps w:val="false"/>
          <w:smallCaps w:val="false"/>
        </w:rPr>
      </w:pPr>
      <w:r>
        <w:rPr/>
      </w:r>
    </w:p>
    <w:p>
      <w:pPr>
        <w:pStyle w:val="Normal1"/>
        <w:shd w:val="clear" w:fill="auto"/>
        <w:spacing w:before="0" w:after="160"/>
        <w:rPr>
          <w:rFonts w:ascii="Arial Narrow" w:hAnsi="Arial Narrow" w:eastAsia="Arial Narrow" w:cs="Arial Narrow"/>
          <w:caps w:val="false"/>
          <w:smallCaps w:val="false"/>
        </w:rPr>
      </w:pPr>
      <w:r>
        <w:rPr/>
      </w:r>
    </w:p>
    <w:p>
      <w:pPr>
        <w:pStyle w:val="Normal1"/>
        <w:shd w:val="clear" w:fill="auto"/>
        <w:spacing w:before="0" w:after="160"/>
        <w:rPr>
          <w:rFonts w:ascii="Arial Narrow" w:hAnsi="Arial Narrow" w:eastAsia="Arial Narrow" w:cs="Arial Narrow"/>
          <w:caps w:val="false"/>
          <w:smallCaps w:val="false"/>
        </w:rPr>
      </w:pPr>
      <w:r>
        <w:rPr>
          <w:rFonts w:eastAsia="Arial Narrow" w:cs="Arial Narrow" w:ascii="Arial Narrow" w:hAnsi="Arial Narrow"/>
          <w:caps w:val="false"/>
          <w:smallCaps w:val="false"/>
        </w:rPr>
        <w:t>---</w:t>
      </w:r>
    </w:p>
    <w:p>
      <w:pPr>
        <w:pStyle w:val="Normal1"/>
        <w:shd w:val="clear" w:fill="auto"/>
        <w:spacing w:before="0" w:after="160"/>
        <w:ind w:hanging="0"/>
        <w:rPr/>
      </w:pPr>
      <w:r>
        <w:rPr>
          <w:rFonts w:eastAsia="Arial Narrow" w:cs="Arial Narrow" w:ascii="Arial Narrow" w:hAnsi="Arial Narrow"/>
          <w:b/>
          <w:bCs/>
          <w:caps w:val="false"/>
          <w:smallCaps w:val="false"/>
          <w:color w:val="C9211E"/>
        </w:rPr>
        <w:t>Nota: Este escrito puede ser presentado de forma on line en este enlace de la web de la Comunidad de Madrid</w:t>
      </w:r>
      <w:r>
        <w:rPr>
          <w:rFonts w:eastAsia="Arial Narrow" w:cs="Arial Narrow" w:ascii="Arial Narrow" w:hAnsi="Arial Narrow"/>
          <w:b/>
          <w:bCs/>
          <w:caps w:val="false"/>
          <w:smallCaps w:val="false"/>
          <w:color w:val="C9211E"/>
        </w:rPr>
        <w:t xml:space="preserve">: </w:t>
      </w:r>
      <w:hyperlink r:id="rId2">
        <w:r>
          <w:rPr>
            <w:rStyle w:val="Hyperlink"/>
            <w:rFonts w:eastAsia="Arial Narrow" w:cs="Arial Narrow" w:ascii="Arial Narrow" w:hAnsi="Arial Narrow"/>
            <w:caps w:val="false"/>
            <w:smallCaps w:val="false"/>
            <w:color w:val="C9211E"/>
          </w:rPr>
          <w:t>https://sede.comunidad.madrid/denuncias-reclamaciones-recursos/reclamaciones-turisticas</w:t>
        </w:r>
      </w:hyperlink>
    </w:p>
    <w:p>
      <w:pPr>
        <w:pStyle w:val="Normal1"/>
        <w:shd w:val="clear" w:fill="auto"/>
        <w:spacing w:before="0" w:after="160"/>
        <w:rPr>
          <w:rFonts w:ascii="Arial Narrow" w:hAnsi="Arial Narrow" w:eastAsia="Arial Narrow" w:cs="Arial Narrow"/>
          <w:caps w:val="false"/>
          <w:smallCaps w:val="false"/>
        </w:rPr>
      </w:pPr>
      <w:r>
        <w:rPr/>
      </w:r>
    </w:p>
    <w:sectPr>
      <w:type w:val="nextPage"/>
      <w:pgSz w:w="11906" w:h="16838"/>
      <w:pgMar w:left="1134" w:right="1134" w:gutter="0" w:header="0" w:top="1134" w:footer="0" w:bottom="1134"/>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swiss"/>
    <w:pitch w:val="variable"/>
  </w:font>
  <w:font w:name="Arial">
    <w:charset w:val="01"/>
    <w:family w:val="swiss"/>
    <w:pitch w:val="variable"/>
  </w:font>
  <w:font w:name="Liberation Sans">
    <w:altName w:val="Arial"/>
    <w:charset w:val="01"/>
    <w:family w:val="roman"/>
    <w:pitch w:val="variable"/>
  </w:font>
  <w:font w:name="Arial">
    <w:charset w:val="01"/>
    <w:family w:val="roman"/>
    <w:pitch w:val="variable"/>
  </w:font>
  <w:font w:name="Proxima Nova">
    <w:charset w:val="01"/>
    <w:family w:val="roman"/>
    <w:pitch w:val="variable"/>
  </w:font>
  <w:font w:name="Arial Narrow">
    <w:charset w:val="01"/>
    <w:family w:val="roman"/>
    <w:pitch w:val="variable"/>
  </w:font>
  <w:font w:name="Arial">
    <w:charset w:val="01"/>
    <w:family w:val="swiss"/>
    <w:pitch w:val="default"/>
  </w:font>
  <w:font w:name="Courier New">
    <w:charset w:val="01"/>
    <w:family w:val="modern"/>
    <w:pitch w:val="fixed"/>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1259" w:hanging="125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1">
      <w:start w:val="1"/>
      <w:numFmt w:val="bullet"/>
      <w:lvlText w:val="○"/>
      <w:lvlJc w:val="left"/>
      <w:pPr>
        <w:tabs>
          <w:tab w:val="num" w:pos="0"/>
        </w:tabs>
        <w:ind w:left="1979" w:hanging="1979"/>
      </w:pPr>
      <w:rPr>
        <w:rFonts w:ascii="Courier New" w:hAnsi="Courier New" w:cs="Courier New" w:hint="default"/>
        <w:smallCaps w:val="false"/>
        <w:caps w:val="false"/>
        <w:dstrike w:val="false"/>
        <w:strike w:val="false"/>
        <w:vertAlign w:val="baseline"/>
        <w:position w:val="0"/>
        <w:sz w:val="20"/>
        <w:sz w:val="20"/>
        <w:i w:val="false"/>
        <w:u w:val="none"/>
        <w:b w:val="false"/>
        <w:shd w:fill="auto" w:val="clear"/>
        <w:szCs w:val="20"/>
        <w:color w:val="000000"/>
      </w:rPr>
    </w:lvl>
    <w:lvl w:ilvl="2">
      <w:start w:val="1"/>
      <w:numFmt w:val="bullet"/>
      <w:lvlText w:val="▪"/>
      <w:lvlJc w:val="left"/>
      <w:pPr>
        <w:tabs>
          <w:tab w:val="num" w:pos="0"/>
        </w:tabs>
        <w:ind w:left="2699" w:hanging="269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3">
      <w:start w:val="1"/>
      <w:numFmt w:val="bullet"/>
      <w:lvlText w:val="●"/>
      <w:lvlJc w:val="left"/>
      <w:pPr>
        <w:tabs>
          <w:tab w:val="num" w:pos="0"/>
        </w:tabs>
        <w:ind w:left="3419" w:hanging="341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4">
      <w:start w:val="1"/>
      <w:numFmt w:val="bullet"/>
      <w:lvlText w:val="○"/>
      <w:lvlJc w:val="left"/>
      <w:pPr>
        <w:tabs>
          <w:tab w:val="num" w:pos="0"/>
        </w:tabs>
        <w:ind w:left="4139" w:hanging="4139"/>
      </w:pPr>
      <w:rPr>
        <w:rFonts w:ascii="Courier New" w:hAnsi="Courier New" w:cs="Courier New" w:hint="default"/>
        <w:smallCaps w:val="false"/>
        <w:caps w:val="false"/>
        <w:dstrike w:val="false"/>
        <w:strike w:val="false"/>
        <w:vertAlign w:val="baseline"/>
        <w:position w:val="0"/>
        <w:sz w:val="20"/>
        <w:sz w:val="20"/>
        <w:i w:val="false"/>
        <w:u w:val="none"/>
        <w:b w:val="false"/>
        <w:shd w:fill="auto" w:val="clear"/>
        <w:szCs w:val="20"/>
        <w:color w:val="000000"/>
      </w:rPr>
    </w:lvl>
    <w:lvl w:ilvl="5">
      <w:start w:val="1"/>
      <w:numFmt w:val="bullet"/>
      <w:lvlText w:val="▪"/>
      <w:lvlJc w:val="left"/>
      <w:pPr>
        <w:tabs>
          <w:tab w:val="num" w:pos="0"/>
        </w:tabs>
        <w:ind w:left="4859" w:hanging="485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6">
      <w:start w:val="1"/>
      <w:numFmt w:val="bullet"/>
      <w:lvlText w:val="●"/>
      <w:lvlJc w:val="left"/>
      <w:pPr>
        <w:tabs>
          <w:tab w:val="num" w:pos="0"/>
        </w:tabs>
        <w:ind w:left="5579" w:hanging="557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lvl w:ilvl="7">
      <w:start w:val="1"/>
      <w:numFmt w:val="bullet"/>
      <w:lvlText w:val="○"/>
      <w:lvlJc w:val="left"/>
      <w:pPr>
        <w:tabs>
          <w:tab w:val="num" w:pos="0"/>
        </w:tabs>
        <w:ind w:left="6299" w:hanging="6299"/>
      </w:pPr>
      <w:rPr>
        <w:rFonts w:ascii="Courier New" w:hAnsi="Courier New" w:cs="Courier New" w:hint="default"/>
        <w:smallCaps w:val="false"/>
        <w:caps w:val="false"/>
        <w:dstrike w:val="false"/>
        <w:strike w:val="false"/>
        <w:vertAlign w:val="baseline"/>
        <w:position w:val="0"/>
        <w:sz w:val="20"/>
        <w:sz w:val="20"/>
        <w:i w:val="false"/>
        <w:u w:val="none"/>
        <w:b w:val="false"/>
        <w:shd w:fill="auto" w:val="clear"/>
        <w:szCs w:val="20"/>
        <w:color w:val="000000"/>
      </w:rPr>
    </w:lvl>
    <w:lvl w:ilvl="8">
      <w:start w:val="1"/>
      <w:numFmt w:val="bullet"/>
      <w:lvlText w:val="▪"/>
      <w:lvlJc w:val="left"/>
      <w:pPr>
        <w:tabs>
          <w:tab w:val="num" w:pos="0"/>
        </w:tabs>
        <w:ind w:left="7019" w:hanging="7019"/>
      </w:pPr>
      <w:rPr>
        <w:rFonts w:ascii="Arial" w:hAnsi="Arial" w:cs="Arial" w:hint="default"/>
        <w:smallCaps w:val="false"/>
        <w:caps w:val="false"/>
        <w:dstrike w:val="false"/>
        <w:strike w:val="false"/>
        <w:vertAlign w:val="baseline"/>
        <w:position w:val="0"/>
        <w:sz w:val="20"/>
        <w:sz w:val="20"/>
        <w:i w:val="false"/>
        <w:u w:val="none"/>
        <w:b w:val="false"/>
        <w:shd w:fill="auto" w:val="clear"/>
        <w:szCs w:val="20"/>
        <w:color w:val="000000"/>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es-ES" w:eastAsia="zh-CN" w:bidi="hi-IN"/>
      </w:rPr>
    </w:rPrDefault>
    <w:pPrDefault>
      <w:pPr>
        <w:suppressAutoHyphens w:val="true"/>
      </w:pPr>
    </w:pPrDefault>
  </w:docDefaults>
  <w:style w:type="paragraph" w:styleId="Normal">
    <w:name w:val="Normal"/>
    <w:qFormat/>
    <w:pPr>
      <w:widowControl/>
      <w:suppressAutoHyphens w:val="true"/>
      <w:bidi w:val="0"/>
      <w:spacing w:lineRule="auto" w:line="259" w:before="0" w:after="160"/>
      <w:ind w:firstLine="539"/>
      <w:jc w:val="both"/>
    </w:pPr>
    <w:rPr>
      <w:rFonts w:ascii="Calibri" w:hAnsi="Calibri" w:eastAsia="Calibri" w:cs="Calibri"/>
      <w:color w:val="auto"/>
      <w:kern w:val="0"/>
      <w:sz w:val="22"/>
      <w:szCs w:val="22"/>
      <w:lang w:val="es-ES" w:eastAsia="zh-CN" w:bidi="hi-IN"/>
    </w:rPr>
  </w:style>
  <w:style w:type="paragraph" w:styleId="Heading1">
    <w:name w:val="Heading 1"/>
    <w:basedOn w:val="Normal1"/>
    <w:next w:val="Normal1"/>
    <w:qFormat/>
    <w:pPr>
      <w:pageBreakBefore w:val="false"/>
      <w:shd w:val="clear" w:fill="auto"/>
      <w:spacing w:lineRule="auto" w:line="240" w:before="100" w:after="100"/>
      <w:ind w:hanging="0"/>
      <w:jc w:val="left"/>
    </w:pPr>
    <w:rPr>
      <w:rFonts w:ascii="Times New Roman" w:hAnsi="Times New Roman" w:eastAsia="Times New Roman" w:cs="Times New Roman"/>
      <w:b/>
      <w:caps w:val="false"/>
      <w:smallCaps w:val="false"/>
      <w:sz w:val="48"/>
      <w:szCs w:val="48"/>
    </w:rPr>
  </w:style>
  <w:style w:type="paragraph" w:styleId="Heading2">
    <w:name w:val="Heading 2"/>
    <w:basedOn w:val="Normal1"/>
    <w:next w:val="Normal1"/>
    <w:qFormat/>
    <w:pPr>
      <w:keepNext w:val="true"/>
      <w:pageBreakBefore w:val="false"/>
      <w:shd w:val="clear" w:fill="auto"/>
      <w:spacing w:lineRule="auto" w:line="240" w:before="240" w:after="60"/>
    </w:pPr>
    <w:rPr>
      <w:rFonts w:ascii="Arial" w:hAnsi="Arial" w:eastAsia="Arial" w:cs="Arial"/>
      <w:b/>
      <w:i/>
      <w:caps w:val="false"/>
      <w:smallCaps w:val="false"/>
      <w:sz w:val="28"/>
      <w:szCs w:val="28"/>
    </w:rPr>
  </w:style>
  <w:style w:type="paragraph" w:styleId="Heading3">
    <w:name w:val="Heading 3"/>
    <w:basedOn w:val="Normal1"/>
    <w:next w:val="Normal1"/>
    <w:qFormat/>
    <w:pPr>
      <w:keepNext w:val="true"/>
      <w:pageBreakBefore w:val="false"/>
      <w:shd w:val="clear" w:fill="auto"/>
      <w:spacing w:lineRule="auto" w:line="240" w:before="240" w:after="60"/>
    </w:pPr>
    <w:rPr>
      <w:rFonts w:ascii="Arial" w:hAnsi="Arial" w:eastAsia="Arial" w:cs="Arial"/>
      <w:b/>
      <w:caps w:val="false"/>
      <w:smallCaps w:val="false"/>
      <w:sz w:val="26"/>
      <w:szCs w:val="26"/>
    </w:rPr>
  </w:style>
  <w:style w:type="paragraph" w:styleId="Heading4">
    <w:name w:val="Heading 4"/>
    <w:basedOn w:val="Normal1"/>
    <w:next w:val="Normal1"/>
    <w:qFormat/>
    <w:pPr>
      <w:keepNext w:val="true"/>
      <w:pageBreakBefore w:val="false"/>
      <w:shd w:val="clear" w:fill="auto"/>
      <w:spacing w:lineRule="auto" w:line="240" w:before="240" w:after="60"/>
    </w:pPr>
    <w:rPr>
      <w:b/>
      <w:caps w:val="false"/>
      <w:smallCaps w:val="false"/>
      <w:sz w:val="28"/>
      <w:szCs w:val="28"/>
    </w:rPr>
  </w:style>
  <w:style w:type="paragraph" w:styleId="Heading5">
    <w:name w:val="Heading 5"/>
    <w:basedOn w:val="Normal1"/>
    <w:next w:val="Normal1"/>
    <w:qFormat/>
    <w:pPr>
      <w:pageBreakBefore w:val="false"/>
      <w:shd w:val="clear" w:fill="auto"/>
      <w:spacing w:lineRule="auto" w:line="240" w:before="240" w:after="60"/>
    </w:pPr>
    <w:rPr>
      <w:b/>
      <w:i/>
      <w:caps w:val="false"/>
      <w:smallCaps w:val="false"/>
      <w:sz w:val="26"/>
      <w:szCs w:val="26"/>
    </w:rPr>
  </w:style>
  <w:style w:type="paragraph" w:styleId="Heading6">
    <w:name w:val="Heading 6"/>
    <w:basedOn w:val="Normal1"/>
    <w:next w:val="Normal1"/>
    <w:qFormat/>
    <w:pPr>
      <w:pageBreakBefore w:val="false"/>
      <w:shd w:val="clear" w:fill="auto"/>
      <w:spacing w:lineRule="auto" w:line="240" w:before="240" w:after="60"/>
    </w:pPr>
    <w:rPr>
      <w:b/>
      <w:caps w:val="false"/>
      <w:smallCaps w:val="false"/>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Normal1" w:default="1">
    <w:name w:val="normal1"/>
    <w:qFormat/>
    <w:pPr>
      <w:widowControl/>
      <w:suppressAutoHyphens w:val="true"/>
      <w:bidi w:val="0"/>
      <w:spacing w:lineRule="auto" w:line="259" w:before="0" w:after="160"/>
      <w:ind w:firstLine="539"/>
      <w:jc w:val="both"/>
    </w:pPr>
    <w:rPr>
      <w:rFonts w:ascii="Calibri" w:hAnsi="Calibri" w:eastAsia="Calibri" w:cs="Calibri"/>
      <w:color w:val="auto"/>
      <w:kern w:val="0"/>
      <w:sz w:val="22"/>
      <w:szCs w:val="22"/>
      <w:lang w:val="es-ES" w:eastAsia="zh-CN" w:bidi="hi-IN"/>
    </w:rPr>
  </w:style>
  <w:style w:type="paragraph" w:styleId="Title">
    <w:name w:val="Title"/>
    <w:basedOn w:val="Normal1"/>
    <w:next w:val="Normal1"/>
    <w:qFormat/>
    <w:pPr>
      <w:pageBreakBefore w:val="false"/>
      <w:shd w:val="clear" w:fill="auto"/>
      <w:spacing w:lineRule="auto" w:line="240" w:before="240" w:after="60"/>
      <w:jc w:val="center"/>
    </w:pPr>
    <w:rPr>
      <w:rFonts w:ascii="Arial" w:hAnsi="Arial" w:eastAsia="Arial" w:cs="Arial"/>
      <w:b/>
      <w:caps w:val="false"/>
      <w:smallCaps w:val="false"/>
      <w:sz w:val="32"/>
      <w:szCs w:val="32"/>
    </w:rPr>
  </w:style>
  <w:style w:type="paragraph" w:styleId="Subtitle">
    <w:name w:val="Subtitle"/>
    <w:basedOn w:val="Normal1"/>
    <w:next w:val="Normal1"/>
    <w:qFormat/>
    <w:pPr>
      <w:pageBreakBefore w:val="false"/>
      <w:shd w:val="clear" w:fill="auto"/>
      <w:spacing w:lineRule="auto" w:line="240" w:before="0" w:after="60"/>
      <w:jc w:val="center"/>
    </w:pPr>
    <w:rPr>
      <w:rFonts w:ascii="Arial" w:hAnsi="Arial" w:eastAsia="Arial" w:cs="Arial"/>
      <w:caps w:val="false"/>
      <w:smallCaps w:val="false"/>
    </w:rPr>
  </w:style>
  <w:style w:type="table" w:default="1" w:styleId="TableNormal">
    <w:name w:val="Table Normal"/>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sede.comunidad.madrid/denuncias-reclamaciones-recursos/reclamaciones-turisticas"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2ce0Fqx5DoREvrp9Fj0pWGVkjPg==">CgMxLjA4AHIhMW5nVkdUV3VWU2JKU1JyOEdGZjg3NWlndnphZjZTdzND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46</TotalTime>
  <Application>LibreOffice/7.6.4.1$Linux_X86_64 LibreOffice_project/60$Build-1</Application>
  <AppVersion>15.0000</AppVersion>
  <Pages>4</Pages>
  <Words>1219</Words>
  <Characters>6937</Characters>
  <CharactersWithSpaces>8297</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2024-02-13T11:05:12Z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